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EF17D" w14:textId="77777777" w:rsidR="00AC3C36" w:rsidRDefault="00AC3C36" w:rsidP="00AC3C36">
      <w:pPr>
        <w:rPr>
          <w:sz w:val="36"/>
          <w:szCs w:val="36"/>
        </w:rPr>
      </w:pPr>
      <w:r>
        <w:rPr>
          <w:sz w:val="36"/>
          <w:szCs w:val="36"/>
        </w:rPr>
        <w:t xml:space="preserve">On August 28, 2024, Regional Centers received updated guidance from the Department of Developmental Services: </w:t>
      </w:r>
      <w:hyperlink r:id="rId5" w:history="1">
        <w:r w:rsidRPr="00AC3C36">
          <w:rPr>
            <w:rStyle w:val="Hyperlink"/>
            <w:i/>
            <w:sz w:val="36"/>
            <w:szCs w:val="36"/>
          </w:rPr>
          <w:t>Updates to Welfare and Institutions Code Section 4688.22: Social Recreation Services, Camping Services, and Nonmedical Therapies</w:t>
        </w:r>
        <w:r w:rsidRPr="00AC3C36">
          <w:rPr>
            <w:rStyle w:val="Hyperlink"/>
            <w:sz w:val="36"/>
            <w:szCs w:val="36"/>
          </w:rPr>
          <w:t>.</w:t>
        </w:r>
      </w:hyperlink>
    </w:p>
    <w:p w14:paraId="30630EC5" w14:textId="77777777" w:rsidR="00AC3C36" w:rsidRDefault="00AC3C36" w:rsidP="00AC3C36">
      <w:pPr>
        <w:rPr>
          <w:sz w:val="36"/>
          <w:szCs w:val="36"/>
        </w:rPr>
      </w:pPr>
    </w:p>
    <w:p w14:paraId="633A648B" w14:textId="77777777" w:rsidR="00AC3C36" w:rsidRDefault="00AC3C36" w:rsidP="00AC3C36">
      <w:pPr>
        <w:rPr>
          <w:sz w:val="36"/>
          <w:szCs w:val="36"/>
        </w:rPr>
      </w:pPr>
      <w:r>
        <w:rPr>
          <w:sz w:val="36"/>
          <w:szCs w:val="36"/>
        </w:rPr>
        <w:t xml:space="preserve">Part of the </w:t>
      </w:r>
      <w:r w:rsidRPr="00AC3C36">
        <w:rPr>
          <w:i/>
          <w:sz w:val="36"/>
          <w:szCs w:val="36"/>
        </w:rPr>
        <w:t>Guidance</w:t>
      </w:r>
      <w:r>
        <w:rPr>
          <w:sz w:val="36"/>
          <w:szCs w:val="36"/>
        </w:rPr>
        <w:t xml:space="preserve"> is provided below regarding new training and website posting requirements. The link to the full guidance document is above. </w:t>
      </w:r>
    </w:p>
    <w:p w14:paraId="5230258D" w14:textId="77777777" w:rsidR="00AC3C36" w:rsidRDefault="00AC3C36" w:rsidP="00AC3C36">
      <w:pPr>
        <w:rPr>
          <w:sz w:val="36"/>
          <w:szCs w:val="36"/>
        </w:rPr>
      </w:pPr>
    </w:p>
    <w:p w14:paraId="1C1D7222" w14:textId="77777777" w:rsidR="00AC3C36" w:rsidRPr="00AC3C36" w:rsidRDefault="00AC3C36" w:rsidP="00AC3C36">
      <w:pPr>
        <w:rPr>
          <w:i/>
          <w:sz w:val="36"/>
        </w:rPr>
      </w:pPr>
      <w:r w:rsidRPr="00AC3C36">
        <w:rPr>
          <w:b/>
          <w:i/>
          <w:sz w:val="36"/>
          <w:u w:val="single"/>
        </w:rPr>
        <w:t>Training and Website Posting</w:t>
      </w:r>
      <w:r w:rsidRPr="00AC3C36">
        <w:rPr>
          <w:i/>
          <w:sz w:val="36"/>
        </w:rPr>
        <w:t xml:space="preserve"> </w:t>
      </w:r>
    </w:p>
    <w:p w14:paraId="30B04903" w14:textId="77777777" w:rsidR="00AC3C36" w:rsidRPr="00AC3C36" w:rsidRDefault="00AC3C36" w:rsidP="00AC3C36">
      <w:pPr>
        <w:rPr>
          <w:i/>
          <w:sz w:val="144"/>
          <w:szCs w:val="36"/>
        </w:rPr>
      </w:pPr>
      <w:r w:rsidRPr="00AC3C36">
        <w:rPr>
          <w:i/>
          <w:sz w:val="36"/>
        </w:rPr>
        <w:t>W&amp;I Code section 4688.22(f)(1)(A) and (B) requires regional centers by March 1, 2025, to have staff, including supervisors, program managers, appeals hearing specialists and officers, and employees who are involved in developing and implementing purchase-of-service policies, complete training about social recreation services, camping services, and nonmedical therapies. The training curriculum shall include, at a minimum, statutes, directives, and policies related to social recreation services, camping services, and nonmedical therapies. Additionally, regional centers must make the training curriculum, materials, or other information utilized as part of the training, along with the dates the training was provided to regional center staff, available on the regional center’s internet website. Website postings must be accessible to the community.</w:t>
      </w:r>
    </w:p>
    <w:p w14:paraId="75EDB694" w14:textId="77777777" w:rsidR="00AC3C36" w:rsidRDefault="00AC3C36" w:rsidP="00AC3C36">
      <w:pPr>
        <w:rPr>
          <w:sz w:val="36"/>
          <w:szCs w:val="36"/>
        </w:rPr>
      </w:pPr>
    </w:p>
    <w:p w14:paraId="3B823856" w14:textId="77777777" w:rsidR="00AC3C36" w:rsidRDefault="00AC3C36" w:rsidP="00AC3C36">
      <w:pPr>
        <w:rPr>
          <w:sz w:val="36"/>
          <w:szCs w:val="36"/>
        </w:rPr>
      </w:pPr>
      <w:r>
        <w:rPr>
          <w:sz w:val="36"/>
          <w:szCs w:val="36"/>
        </w:rPr>
        <w:t xml:space="preserve">All staff employed by San Diego Regional Center who meet these criteria attended one of the below training dates: </w:t>
      </w:r>
    </w:p>
    <w:p w14:paraId="0DB81CBA" w14:textId="77777777" w:rsidR="00AC3C36" w:rsidRDefault="00AC3C36" w:rsidP="00AC3C36">
      <w:pPr>
        <w:rPr>
          <w:sz w:val="36"/>
          <w:szCs w:val="36"/>
        </w:rPr>
      </w:pPr>
      <w:r>
        <w:rPr>
          <w:sz w:val="36"/>
          <w:szCs w:val="36"/>
        </w:rPr>
        <w:t>                 08/27/2024</w:t>
      </w:r>
    </w:p>
    <w:p w14:paraId="6B32CB1B" w14:textId="77777777" w:rsidR="00AC3C36" w:rsidRDefault="00AC3C36" w:rsidP="00AC3C36">
      <w:pPr>
        <w:rPr>
          <w:sz w:val="36"/>
          <w:szCs w:val="36"/>
        </w:rPr>
      </w:pPr>
      <w:r>
        <w:rPr>
          <w:sz w:val="36"/>
          <w:szCs w:val="36"/>
        </w:rPr>
        <w:lastRenderedPageBreak/>
        <w:t>                 08/28/2024</w:t>
      </w:r>
    </w:p>
    <w:p w14:paraId="16A6CC36" w14:textId="77777777" w:rsidR="00AC3C36" w:rsidRDefault="00AC3C36" w:rsidP="00AC3C36">
      <w:pPr>
        <w:rPr>
          <w:sz w:val="36"/>
          <w:szCs w:val="36"/>
        </w:rPr>
      </w:pPr>
      <w:r>
        <w:rPr>
          <w:sz w:val="36"/>
          <w:szCs w:val="36"/>
        </w:rPr>
        <w:t>                 08/29/2024</w:t>
      </w:r>
    </w:p>
    <w:p w14:paraId="17F501C5" w14:textId="77777777" w:rsidR="00AC3C36" w:rsidRDefault="00AC3C36" w:rsidP="00AC3C36">
      <w:pPr>
        <w:rPr>
          <w:sz w:val="36"/>
          <w:szCs w:val="36"/>
        </w:rPr>
      </w:pPr>
      <w:r>
        <w:rPr>
          <w:sz w:val="36"/>
          <w:szCs w:val="36"/>
        </w:rPr>
        <w:t xml:space="preserve">                 09/04/2024              </w:t>
      </w:r>
    </w:p>
    <w:p w14:paraId="2D51A75A" w14:textId="77777777" w:rsidR="00AC3C36" w:rsidRDefault="00AC3C36" w:rsidP="00AC3C36">
      <w:pPr>
        <w:rPr>
          <w:sz w:val="36"/>
          <w:szCs w:val="36"/>
        </w:rPr>
      </w:pPr>
      <w:r>
        <w:rPr>
          <w:sz w:val="36"/>
          <w:szCs w:val="36"/>
        </w:rPr>
        <w:t>                 09/05/2024</w:t>
      </w:r>
    </w:p>
    <w:p w14:paraId="308DF7CC" w14:textId="77777777" w:rsidR="00AC3C36" w:rsidRDefault="00AC3C36" w:rsidP="00AC3C36">
      <w:pPr>
        <w:rPr>
          <w:sz w:val="36"/>
          <w:szCs w:val="36"/>
        </w:rPr>
      </w:pPr>
      <w:r>
        <w:rPr>
          <w:sz w:val="36"/>
          <w:szCs w:val="36"/>
        </w:rPr>
        <w:t>                 02/12/2025</w:t>
      </w:r>
    </w:p>
    <w:p w14:paraId="51680741" w14:textId="77777777" w:rsidR="00AC3C36" w:rsidRDefault="00AC3C36" w:rsidP="00AC3C36">
      <w:pPr>
        <w:rPr>
          <w:sz w:val="36"/>
          <w:szCs w:val="36"/>
        </w:rPr>
      </w:pPr>
    </w:p>
    <w:p w14:paraId="1EEB20A8" w14:textId="00D5B78D" w:rsidR="00AC3C36" w:rsidRDefault="00AC3C36" w:rsidP="00AC3C36">
      <w:pPr>
        <w:rPr>
          <w:sz w:val="36"/>
          <w:szCs w:val="36"/>
        </w:rPr>
      </w:pPr>
      <w:r>
        <w:rPr>
          <w:sz w:val="36"/>
          <w:szCs w:val="36"/>
        </w:rPr>
        <w:t xml:space="preserve">The training materials </w:t>
      </w:r>
      <w:r w:rsidR="002B45AF">
        <w:rPr>
          <w:sz w:val="36"/>
          <w:szCs w:val="36"/>
        </w:rPr>
        <w:t xml:space="preserve">can be reviewed </w:t>
      </w:r>
      <w:hyperlink r:id="rId6" w:history="1">
        <w:r w:rsidR="002B45AF" w:rsidRPr="00C448E2">
          <w:rPr>
            <w:rStyle w:val="Hyperlink"/>
            <w:sz w:val="36"/>
            <w:szCs w:val="36"/>
          </w:rPr>
          <w:t>here</w:t>
        </w:r>
      </w:hyperlink>
    </w:p>
    <w:p w14:paraId="3D5090EB" w14:textId="77777777" w:rsidR="00AC3C36" w:rsidRDefault="00AC3C36" w:rsidP="00AC3C36">
      <w:pPr>
        <w:rPr>
          <w:sz w:val="36"/>
          <w:szCs w:val="36"/>
        </w:rPr>
      </w:pPr>
    </w:p>
    <w:p w14:paraId="56D45093" w14:textId="77777777" w:rsidR="00AC3C36" w:rsidRDefault="002B45AF" w:rsidP="00AC3C36">
      <w:pPr>
        <w:rPr>
          <w:sz w:val="36"/>
          <w:szCs w:val="36"/>
        </w:rPr>
      </w:pPr>
      <w:r>
        <w:rPr>
          <w:sz w:val="36"/>
          <w:szCs w:val="36"/>
        </w:rPr>
        <w:t>SDRC commits to providing training to all new hires who meet the criteria outlined in in the 8/28/24 DDS Guidance, and to provide ongoing training opportunities for all staff on a regular basis and whenever any significant changes occur in legislation, guidance, policies, and/or procedures as outlined below:</w:t>
      </w:r>
    </w:p>
    <w:p w14:paraId="2A240300" w14:textId="77777777" w:rsidR="00AC3C36" w:rsidRDefault="00AC3C36" w:rsidP="00AC3C36">
      <w:pPr>
        <w:pStyle w:val="ListParagraph"/>
        <w:numPr>
          <w:ilvl w:val="0"/>
          <w:numId w:val="1"/>
        </w:numPr>
        <w:rPr>
          <w:rFonts w:eastAsia="Times New Roman"/>
          <w:sz w:val="36"/>
          <w:szCs w:val="36"/>
        </w:rPr>
      </w:pPr>
      <w:r>
        <w:rPr>
          <w:rFonts w:eastAsia="Times New Roman"/>
          <w:sz w:val="36"/>
          <w:szCs w:val="36"/>
        </w:rPr>
        <w:t xml:space="preserve">SDRC’s New Hire Checklist will include the Social Recreation, Non-medical Therapies, and Camp Services training as a required training for all new hires to complete, via LEAP module. </w:t>
      </w:r>
    </w:p>
    <w:p w14:paraId="4293EA8C" w14:textId="77777777" w:rsidR="00AC3C36" w:rsidRDefault="00AC3C36" w:rsidP="00AC3C36">
      <w:pPr>
        <w:pStyle w:val="ListParagraph"/>
        <w:numPr>
          <w:ilvl w:val="0"/>
          <w:numId w:val="1"/>
        </w:numPr>
        <w:rPr>
          <w:rFonts w:eastAsia="Times New Roman"/>
          <w:sz w:val="36"/>
          <w:szCs w:val="36"/>
        </w:rPr>
      </w:pPr>
      <w:r>
        <w:rPr>
          <w:rFonts w:eastAsia="Times New Roman"/>
          <w:sz w:val="36"/>
          <w:szCs w:val="36"/>
        </w:rPr>
        <w:t>SDRC will host quarterly Social Recreation, Non-medical Therapies, and Camp Services training for all staff</w:t>
      </w:r>
    </w:p>
    <w:p w14:paraId="3F99C4A4" w14:textId="77777777" w:rsidR="00AC3C36" w:rsidRDefault="00AC3C36" w:rsidP="00AC3C36">
      <w:pPr>
        <w:pStyle w:val="ListParagraph"/>
        <w:numPr>
          <w:ilvl w:val="0"/>
          <w:numId w:val="1"/>
        </w:numPr>
        <w:rPr>
          <w:rFonts w:eastAsia="Times New Roman"/>
          <w:sz w:val="36"/>
          <w:szCs w:val="36"/>
        </w:rPr>
      </w:pPr>
      <w:r>
        <w:rPr>
          <w:rFonts w:eastAsia="Times New Roman"/>
          <w:sz w:val="36"/>
          <w:szCs w:val="36"/>
        </w:rPr>
        <w:t xml:space="preserve">SDRC’s Social Recreation, Non-medical Therapies, and Camp Services training will be posted on LEAP for staff to access at any time. </w:t>
      </w:r>
    </w:p>
    <w:p w14:paraId="0919A1DF" w14:textId="77777777" w:rsidR="00AC3C36" w:rsidRDefault="00AC3C36" w:rsidP="00AC3C36">
      <w:pPr>
        <w:rPr>
          <w:sz w:val="36"/>
          <w:szCs w:val="36"/>
        </w:rPr>
      </w:pPr>
    </w:p>
    <w:p w14:paraId="376396C5" w14:textId="77777777" w:rsidR="00AC3C36" w:rsidRDefault="00AC3C36" w:rsidP="00AC3C36">
      <w:pPr>
        <w:rPr>
          <w:rFonts w:asciiTheme="minorHAnsi" w:hAnsiTheme="minorHAnsi" w:cstheme="minorBidi"/>
        </w:rPr>
      </w:pPr>
    </w:p>
    <w:p w14:paraId="029BC43C" w14:textId="77777777" w:rsidR="00AC3C36" w:rsidRDefault="00AC3C36" w:rsidP="00AC3C36">
      <w:pPr>
        <w:rPr>
          <w:rFonts w:asciiTheme="minorHAnsi" w:hAnsiTheme="minorHAnsi" w:cstheme="minorBidi"/>
        </w:rPr>
      </w:pPr>
    </w:p>
    <w:p w14:paraId="2CC3DBE8" w14:textId="77777777" w:rsidR="00DB7C13" w:rsidRDefault="00DB7C13"/>
    <w:sectPr w:rsidR="00DB7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74111"/>
    <w:multiLevelType w:val="hybridMultilevel"/>
    <w:tmpl w:val="75AA72C2"/>
    <w:lvl w:ilvl="0" w:tplc="5E72BDE4">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62553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36"/>
    <w:rsid w:val="002B45AF"/>
    <w:rsid w:val="00AC3C36"/>
    <w:rsid w:val="00C448E2"/>
    <w:rsid w:val="00DB7C13"/>
    <w:rsid w:val="00EE6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0B4FE"/>
  <w15:chartTrackingRefBased/>
  <w15:docId w15:val="{219FE873-B2A7-4CD0-9C0D-EF3B6F07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3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C36"/>
    <w:pPr>
      <w:ind w:left="720"/>
    </w:pPr>
  </w:style>
  <w:style w:type="character" w:styleId="Hyperlink">
    <w:name w:val="Hyperlink"/>
    <w:basedOn w:val="DefaultParagraphFont"/>
    <w:uiPriority w:val="99"/>
    <w:unhideWhenUsed/>
    <w:rsid w:val="00AC3C36"/>
    <w:rPr>
      <w:color w:val="0000FF" w:themeColor="hyperlink"/>
      <w:u w:val="single"/>
    </w:rPr>
  </w:style>
  <w:style w:type="character" w:styleId="UnresolvedMention">
    <w:name w:val="Unresolved Mention"/>
    <w:basedOn w:val="DefaultParagraphFont"/>
    <w:uiPriority w:val="99"/>
    <w:semiHidden/>
    <w:unhideWhenUsed/>
    <w:rsid w:val="00AC3C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74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drc.org/_files/ugd/61b2eb_7ed71850f689430e871d25662c938c07.pptx?dn=Soc_Rec%20%20Staff%20Training_8_2024%20(updated%20for%20website%202.18.2025).pptx" TargetMode="External"/><Relationship Id="rId5" Type="http://schemas.openxmlformats.org/officeDocument/2006/relationships/hyperlink" Target="https://www.dds.ca.gov/wp-content/uploads/2024/09/SocialRecreation_UpdatesToWelfareAndInsitutionsCode_2024082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San Diego Regional Center</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Gabriella.Ohmstede</dc:creator>
  <cp:keywords/>
  <dc:description/>
  <cp:lastModifiedBy>Cornell Montgomery-Richardson</cp:lastModifiedBy>
  <cp:revision>2</cp:revision>
  <dcterms:created xsi:type="dcterms:W3CDTF">2025-02-25T20:25:00Z</dcterms:created>
  <dcterms:modified xsi:type="dcterms:W3CDTF">2025-02-25T20:25:00Z</dcterms:modified>
</cp:coreProperties>
</file>